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BB" w:rsidRPr="00CC0775" w:rsidRDefault="00897A4A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6165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Подпрограмма «Повышение эффективности  </w:t>
      </w:r>
      <w:r w:rsidR="006165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бюджетных 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расходов</w:t>
      </w:r>
      <w:r w:rsidR="006165BB" w:rsidRPr="00CC07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165BB" w:rsidRPr="0094344A" w:rsidRDefault="006165BB" w:rsidP="006165B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230"/>
      </w:tblGrid>
      <w:tr w:rsidR="006165BB" w:rsidRPr="00804052" w:rsidTr="000E270D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6C3F0A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бюджетных </w:t>
            </w:r>
            <w:r w:rsidRPr="006C3F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расходов </w:t>
            </w:r>
          </w:p>
        </w:tc>
      </w:tr>
      <w:tr w:rsidR="006165BB" w:rsidRPr="00804052" w:rsidTr="000E270D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Администрации - начальник Управления финансов Администрации муниципального образования «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165BB" w:rsidRPr="00804052" w:rsidTr="000E270D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165BB" w:rsidRPr="00804052" w:rsidTr="000E270D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1A0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муниципального образования «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6165BB" w:rsidRPr="00804052" w:rsidTr="000E270D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повышения эффективности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F3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открытости и прозрачности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бюджетных расходов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повышения качест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 управления муниципальными 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финансами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Юкаменском  районе</w:t>
            </w:r>
            <w:r w:rsidRPr="006575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    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и устойчивости консолидированного бюджета Юкаменского района.</w:t>
            </w:r>
          </w:p>
          <w:p w:rsidR="006165BB" w:rsidRPr="00375A03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165BB" w:rsidRPr="00804052" w:rsidTr="000E270D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финансового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планирования;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модернизация бюджетного процесса в условиях внедрения программно- целевых методов управления на основе муниципальных программ Юкаменского района;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эффективности оказания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учреждениями на основе совершенствования практики применения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заданий и финансовых нормативов;       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управления муниципальными финансами;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повышение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финансового менеджмента главных распорядителей бюджетных средств;                              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создание стимулов для повышения эффективности бюджетных расходов и качества управления финансами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Юкаменском районе;</w:t>
            </w:r>
          </w:p>
          <w:p w:rsidR="006165BB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7) совершенствование информационных систем, используемых для управления муниципальными финансами в  Юкаменском районе;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8) повышение открытости и прозрачности бюджетного процесса в Юкаменском  районе;</w:t>
            </w:r>
          </w:p>
        </w:tc>
      </w:tr>
      <w:tr w:rsidR="006165BB" w:rsidRPr="00804052" w:rsidTr="000E270D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Целевые     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E2B65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качества   управления муниципальными финансами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8E2B65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Республике;</w:t>
            </w:r>
          </w:p>
          <w:p w:rsidR="006165BB" w:rsidRPr="00635439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тверждение бюджетов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очередной финансовый год и плановый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65BB" w:rsidRPr="00635439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местных налогов консолидированного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6165BB" w:rsidRPr="00635439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543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5439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учреждений;</w:t>
            </w:r>
          </w:p>
          <w:p w:rsidR="006165BB" w:rsidRPr="00083C4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 средний у</w:t>
            </w:r>
            <w:r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ровень </w:t>
            </w:r>
            <w:proofErr w:type="gramStart"/>
            <w:r w:rsidRPr="00083C40">
              <w:rPr>
                <w:rFonts w:ascii="Times New Roman" w:hAnsi="Times New Roman" w:cs="Times New Roman"/>
                <w:sz w:val="24"/>
                <w:szCs w:val="24"/>
              </w:rPr>
              <w:t>качества финансового менеджмента главных распорядителей средств консолидированного бюджета Юкаменского  района</w:t>
            </w:r>
            <w:proofErr w:type="gramEnd"/>
            <w:r w:rsidRPr="00083C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65BB" w:rsidRPr="00083C4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40">
              <w:rPr>
                <w:rFonts w:ascii="Times New Roman" w:hAnsi="Times New Roman" w:cs="Times New Roman"/>
                <w:sz w:val="24"/>
                <w:szCs w:val="24"/>
              </w:rPr>
              <w:t>7) средний уровень качества управления муниципальными финансами Юкаменского 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3C40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предыдущему году;</w:t>
            </w:r>
          </w:p>
          <w:p w:rsidR="006165BB" w:rsidRPr="00635439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Pr="003807E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о разработке нормативных правовых актов в сети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165BB" w:rsidRPr="00375A03" w:rsidRDefault="006165BB" w:rsidP="000E27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165BB" w:rsidRPr="00804052" w:rsidTr="000E270D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 этапы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подпрограммы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годы,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</w:tc>
      </w:tr>
      <w:tr w:rsidR="006165BB" w:rsidRPr="00804052" w:rsidTr="000E270D">
        <w:trPr>
          <w:trHeight w:val="6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97A4A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бюджетных ассигнований на реализацию подпрограммы за счет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</w:t>
            </w:r>
            <w:r w:rsidR="00897A4A" w:rsidRPr="00897A4A">
              <w:rPr>
                <w:rFonts w:ascii="Times New Roman" w:hAnsi="Times New Roman" w:cs="Times New Roman"/>
                <w:sz w:val="24"/>
                <w:szCs w:val="24"/>
              </w:rPr>
              <w:t>26544,6</w:t>
            </w: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                         </w:t>
            </w:r>
          </w:p>
          <w:p w:rsidR="006165BB" w:rsidRPr="00897A4A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   </w:t>
            </w:r>
            <w:r w:rsidR="00897A4A" w:rsidRPr="00897A4A">
              <w:rPr>
                <w:rFonts w:ascii="Times New Roman" w:hAnsi="Times New Roman" w:cs="Times New Roman"/>
                <w:sz w:val="24"/>
                <w:szCs w:val="24"/>
              </w:rPr>
              <w:t>934,6</w:t>
            </w: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6165BB" w:rsidRPr="00897A4A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  </w:t>
            </w:r>
            <w:r w:rsidR="00897A4A" w:rsidRPr="00897A4A">
              <w:rPr>
                <w:rFonts w:ascii="Times New Roman" w:hAnsi="Times New Roman" w:cs="Times New Roman"/>
                <w:sz w:val="24"/>
                <w:szCs w:val="24"/>
              </w:rPr>
              <w:t>5050,0</w:t>
            </w: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6165BB" w:rsidRPr="00897A4A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  </w:t>
            </w:r>
            <w:r w:rsidR="00897A4A" w:rsidRPr="00897A4A">
              <w:rPr>
                <w:rFonts w:ascii="Times New Roman" w:hAnsi="Times New Roman" w:cs="Times New Roman"/>
                <w:sz w:val="24"/>
                <w:szCs w:val="24"/>
              </w:rPr>
              <w:t>10280,0</w:t>
            </w: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  <w:p w:rsidR="006165BB" w:rsidRPr="006621D0" w:rsidRDefault="006165BB" w:rsidP="00897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   </w:t>
            </w:r>
            <w:r w:rsidR="00897A4A" w:rsidRPr="00897A4A">
              <w:rPr>
                <w:rFonts w:ascii="Times New Roman" w:hAnsi="Times New Roman" w:cs="Times New Roman"/>
                <w:sz w:val="24"/>
                <w:szCs w:val="24"/>
              </w:rPr>
              <w:t>10280,0</w:t>
            </w:r>
            <w:r w:rsidRPr="00897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7A4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6165BB" w:rsidRPr="00804052" w:rsidTr="000E270D">
        <w:trPr>
          <w:trHeight w:val="975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</w:t>
            </w:r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оценка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планируемой</w:t>
            </w:r>
            <w:proofErr w:type="gramEnd"/>
          </w:p>
          <w:p w:rsidR="006165BB" w:rsidRPr="00804052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65BB" w:rsidRPr="006621D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сбалансированности и устойчивости консолидированного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</w:t>
            </w:r>
          </w:p>
          <w:p w:rsidR="006165BB" w:rsidRPr="006621D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внедрение в практику долгосрочного финансового планирования;</w:t>
            </w:r>
          </w:p>
          <w:p w:rsidR="006165BB" w:rsidRPr="006621D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621D0">
              <w:rPr>
                <w:rFonts w:ascii="Times New Roman" w:hAnsi="Times New Roman" w:cs="Times New Roman"/>
                <w:sz w:val="24"/>
                <w:szCs w:val="24"/>
              </w:rPr>
              <w:t xml:space="preserve">птимизация налоговых льгот по местным налогам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каменского </w:t>
            </w:r>
            <w:r w:rsidRPr="006621D0">
              <w:rPr>
                <w:rFonts w:ascii="Times New Roman" w:hAnsi="Times New Roman" w:cs="Times New Roman"/>
                <w:sz w:val="24"/>
                <w:szCs w:val="24"/>
              </w:rPr>
              <w:t>района;</w:t>
            </w:r>
          </w:p>
          <w:p w:rsidR="006165BB" w:rsidRPr="006621D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надлежащего качества управления муниципальными  финансами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района. Средний уровень </w:t>
            </w:r>
            <w:proofErr w:type="gramStart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качества финансового менеджмента 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главных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средств бюджета муниципального</w:t>
            </w:r>
            <w:proofErr w:type="gramEnd"/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1A0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не ниже </w:t>
            </w:r>
            <w:r w:rsidRPr="00662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процентов;</w:t>
            </w:r>
          </w:p>
          <w:p w:rsidR="006165BB" w:rsidRPr="006621D0" w:rsidRDefault="006165BB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качества управления муниципальными финансами;</w:t>
            </w:r>
          </w:p>
          <w:p w:rsidR="006165BB" w:rsidRPr="006621D0" w:rsidRDefault="001A0820" w:rsidP="000E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165BB" w:rsidRPr="006621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повышение открытости информации о муниципальных финансах;</w:t>
            </w:r>
          </w:p>
        </w:tc>
      </w:tr>
    </w:tbl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5BB" w:rsidRPr="00CC0775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Par547"/>
      <w:bookmarkEnd w:id="1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Характеристика сферы деятельности </w:t>
      </w:r>
    </w:p>
    <w:p w:rsidR="006165BB" w:rsidRPr="00CC0775" w:rsidRDefault="006165BB" w:rsidP="006165BB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Мероприятия подпрограммы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«Повышение эффективности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бюджетных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расходов</w:t>
      </w:r>
      <w:r w:rsidRPr="00CC0775">
        <w:rPr>
          <w:rFonts w:ascii="Times New Roman" w:eastAsia="Times New Roman" w:hAnsi="Times New Roman" w:cs="Times New Roman"/>
          <w:bCs/>
          <w:sz w:val="24"/>
          <w:szCs w:val="24"/>
        </w:rPr>
        <w:t>» (далее по тексту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C0775">
        <w:rPr>
          <w:rFonts w:ascii="Times New Roman" w:eastAsia="Times New Roman" w:hAnsi="Times New Roman" w:cs="Times New Roman"/>
          <w:bCs/>
          <w:sz w:val="24"/>
          <w:szCs w:val="24"/>
        </w:rPr>
        <w:t>- подпрограмма)</w:t>
      </w: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 направлены, прежде всего, на формирование стабильной финансовой основы для исполнения расходных обязательств  на базе современных принципов эффективного управления муниципальными финансами, что, в свою очередь, будет способствовать социально-экономическому развитию  муниципальных образований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Юкаменском </w:t>
      </w: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 районе. </w:t>
      </w:r>
      <w:proofErr w:type="gramEnd"/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Наполнение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напрямую зависит от состояния экономики, а также от проводимой на федеральном и республиканском уровнях налоговой и бюджетной политики. Вместе с тем сохраняются традиционные риски для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которые оказывают влияние на объем доходов и расходов районного бюджета и бюджетов муниципальных образований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сельских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поселений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качество бюджетного планирования.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Переход к формированию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  <w:proofErr w:type="gramEnd"/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этим требуется внедрение долгосрочного финансового планирования в целях определения бюджетных ограничений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разрезе муниципальных 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 долгосрочную перспективу. Обеспечение долгосрочной сбалансированности и устойчивости </w:t>
      </w:r>
      <w:r w:rsidRPr="00CC0775">
        <w:rPr>
          <w:rFonts w:ascii="Times New Roman" w:hAnsi="Times New Roman" w:cs="Times New Roman"/>
          <w:sz w:val="24"/>
          <w:szCs w:val="24"/>
        </w:rPr>
        <w:t xml:space="preserve">консолидированного бюджета </w:t>
      </w:r>
      <w:r>
        <w:rPr>
          <w:rFonts w:ascii="Times New Roman" w:hAnsi="Times New Roman" w:cs="Times New Roman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sz w:val="24"/>
          <w:szCs w:val="24"/>
        </w:rPr>
        <w:t xml:space="preserve"> района является первоочередным условием достижения целей и решения задач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CC0775">
        <w:rPr>
          <w:rFonts w:ascii="Times New Roman" w:hAnsi="Times New Roman" w:cs="Times New Roman"/>
          <w:sz w:val="24"/>
          <w:szCs w:val="24"/>
        </w:rPr>
        <w:t xml:space="preserve">рограммы. Формирование финансового плана на долгосрочную перспективу - задача, которую предстоит решить в рамках реализации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CC0775">
        <w:rPr>
          <w:rFonts w:ascii="Times New Roman" w:hAnsi="Times New Roman" w:cs="Times New Roman"/>
          <w:sz w:val="24"/>
          <w:szCs w:val="24"/>
        </w:rPr>
        <w:t>.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Бюджетная и налоговая политика района на долгосрочную перспективу должна формироваться исходя из необходимости </w:t>
      </w:r>
      <w:proofErr w:type="gramStart"/>
      <w:r w:rsidRPr="00CC0775">
        <w:rPr>
          <w:rFonts w:ascii="Times New Roman" w:eastAsia="Times New Roman" w:hAnsi="Times New Roman" w:cs="Times New Roman"/>
          <w:sz w:val="24"/>
          <w:szCs w:val="24"/>
        </w:rPr>
        <w:t>повышения уровня благосостояния жителей района</w:t>
      </w:r>
      <w:proofErr w:type="gramEnd"/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 и достижения устойчивых темпов экономического роста. </w:t>
      </w:r>
      <w:r w:rsidRPr="00CC0775">
        <w:rPr>
          <w:rFonts w:ascii="Times New Roman" w:eastAsia="Times New Roman" w:hAnsi="Times New Roman" w:cs="Times New Roman"/>
          <w:sz w:val="24"/>
          <w:szCs w:val="24"/>
        </w:rPr>
        <w:br/>
        <w:t xml:space="preserve">Проведение предсказуемой и ответственной бюджетной и налоговой политики является важнейшей предпосылкой для обеспечения экономической стабильности в районе, которая:     </w:t>
      </w:r>
    </w:p>
    <w:p w:rsidR="006165BB" w:rsidRPr="00CC0775" w:rsidRDefault="006165BB" w:rsidP="006165BB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- создает условия для устойчивого экономического роста, улучшения инвестиционного климата, повышения конкурентоспособности субъектов экономики, основанной на инновационном развитии; </w:t>
      </w:r>
    </w:p>
    <w:p w:rsidR="006165BB" w:rsidRPr="00CC0775" w:rsidRDefault="006165BB" w:rsidP="006165BB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- ведет к созданию рабочих мест, требующих кадров высокой квалификации; </w:t>
      </w:r>
    </w:p>
    <w:p w:rsidR="006165BB" w:rsidRPr="00CC0775" w:rsidRDefault="006165BB" w:rsidP="006165BB">
      <w:pPr>
        <w:spacing w:after="1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775">
        <w:rPr>
          <w:rFonts w:ascii="Times New Roman" w:eastAsia="Times New Roman" w:hAnsi="Times New Roman" w:cs="Times New Roman"/>
          <w:sz w:val="24"/>
          <w:szCs w:val="24"/>
        </w:rPr>
        <w:t xml:space="preserve">- определяет достижение ключевой конечной цели стратегии социально-экономического развития района – повышение качества жизни населения, в том числе за счет обеспечения граждан доступными и качественными муниципальными услугами. </w:t>
      </w:r>
    </w:p>
    <w:p w:rsidR="006165BB" w:rsidRPr="00CC0775" w:rsidRDefault="006165BB" w:rsidP="006165BB">
      <w:pPr>
        <w:spacing w:after="1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775">
        <w:rPr>
          <w:rFonts w:ascii="Times New Roman" w:hAnsi="Times New Roman" w:cs="Times New Roman"/>
          <w:sz w:val="24"/>
          <w:szCs w:val="24"/>
        </w:rPr>
        <w:t xml:space="preserve">         Бюджетная политика района должна формироваться с должной степенью осмотрительности, учитывать возможные сценарии экономического развития и межбюджетных отношений с органами власти субъекта. В то же время она должна быть активной, в максимальной степени позволяющей использовать все имеющиеся возможности.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0775">
        <w:rPr>
          <w:rFonts w:ascii="Times New Roman" w:hAnsi="Times New Roman" w:cs="Times New Roman"/>
          <w:sz w:val="24"/>
          <w:szCs w:val="24"/>
        </w:rPr>
        <w:t xml:space="preserve">В условиях ограниченных финансовых ресурсов бюджетов всех уровней требуют усиленного внимания задачи обеспечения взвешенного подхода к управлению бюджетными средствами, повышения эффективности и результативности бюджетных расходов. Деятельность в этом направлении призвана повысить эффективность муниципального управления, обеспечить выполнение расходных обязательств в полном объеме и решение приоритетных задач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социально-экономического развития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в условиях ограниченности ресурсов. 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sz w:val="24"/>
          <w:szCs w:val="24"/>
        </w:rPr>
        <w:t xml:space="preserve">    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стремительного развития информационных и телекоммуникационных технологий, новых задач в сфере муниципального управления, необходимости повышения эффективности бюджетных расходов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требуется ряд серьезных преобразований в части использования в сфере управления муниципальными финансами информационных и телекоммуникационных технологий. 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6165BB" w:rsidRPr="00CC0775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Par576"/>
      <w:bookmarkEnd w:id="2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3.2. Приоритеты, цели и задачи 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является важнейшей предпосылкой финансового обеспечения принятых расходных обязательств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создает базовые условия для социально-экономического развития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Целями  подпрограммы  являются: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условий для повышения эффективности, открытости и прозрачности бюджетных расходов, повышения качества управления муниципальными    финансами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повышения качества финансового менеджмента в секторе муниципального управления;     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поставленной цели будут решаться следующие задачи: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1) развитие долгосрочного финансового планирования;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модернизация бюджетного процесса в условиях внедрения программно- целевых методов управления на основе муниципальных 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) повышение эффективности управления муниципальными финансами;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повышение качества финансового менеджмента главных распорядителей бюджетных средств;                              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создание стимулов для повышения эффективности бюджетных расходов и качества управления финансами муниципальных образований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сельских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поселений 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Юкаменском 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районе;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совершенствование информационных систем, используемых для управления муниципальными финансами в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районе;</w:t>
      </w:r>
    </w:p>
    <w:p w:rsidR="006165BB" w:rsidRPr="00F03D1D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открытости и прозрачности бюджетного процесса в Юкаменском районе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CC0775" w:rsidRDefault="001A0820" w:rsidP="001A082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" w:name="Par595"/>
      <w:bookmarkEnd w:id="3"/>
      <w:r>
        <w:rPr>
          <w:rFonts w:ascii="Times New Roman" w:hAnsi="Times New Roman" w:cs="Times New Roman"/>
          <w:color w:val="000000" w:themeColor="text1"/>
          <w:sz w:val="24"/>
          <w:szCs w:val="24"/>
        </w:rPr>
        <w:t>09.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Целевые показатели (индикаторы) подпрограммы</w:t>
      </w:r>
    </w:p>
    <w:bookmarkStart w:id="4" w:name="Par599"/>
    <w:bookmarkEnd w:id="4"/>
    <w:p w:rsidR="006165BB" w:rsidRDefault="00367571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6165BB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\l "Par2081" </w:instrTex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6165BB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6165BB"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значениях целевых показателей (индикаторов) подпрограммы  представлены в </w:t>
      </w:r>
      <w:r w:rsidR="0019384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</w:t>
      </w:r>
      <w:r w:rsidR="006165BB" w:rsidRPr="00CC077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риложении 1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65BB" w:rsidRPr="00CC0775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Par621"/>
      <w:bookmarkStart w:id="6" w:name="Par610"/>
      <w:bookmarkEnd w:id="5"/>
      <w:bookmarkEnd w:id="6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Сроки и этапы реализации подпрограммы</w:t>
      </w:r>
    </w:p>
    <w:p w:rsidR="006165BB" w:rsidRPr="00CC0775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 реализуется в 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- 2025 годы. Этапы подпрограммы не выделяются.</w:t>
      </w:r>
      <w:r w:rsidRPr="00CC0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</w:p>
    <w:p w:rsidR="006165BB" w:rsidRPr="00804052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Par626"/>
      <w:bookmarkEnd w:id="7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CC0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3.5. 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мероприятия подпрограммы</w:t>
      </w:r>
    </w:p>
    <w:p w:rsidR="006165BB" w:rsidRPr="003B137E" w:rsidRDefault="00897A4A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6165BB"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6165BB"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 с указанием ответственных исполнителей, сроков реализации и непосредственных результатов представлен в </w:t>
      </w:r>
      <w:r w:rsidR="0019384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</w:t>
      </w:r>
      <w:r w:rsidR="006165BB"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риложении 2</w:t>
      </w:r>
      <w:r w:rsidR="006165BB"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из бюджета Удмуртской Республики на </w:t>
      </w:r>
      <w:proofErr w:type="spell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мероприятий подпрограммы  повышения эффективности бюджетных расходов по итогам конкурсного отбора, перечень основных мероприятий подпрограммы  может быть уточнен.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Par644"/>
      <w:bookmarkEnd w:id="8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3.6. Меры муниципального регулирования  </w:t>
      </w:r>
    </w:p>
    <w:p w:rsidR="001A0820" w:rsidRDefault="006165BB" w:rsidP="001A082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 осуществляются меры норма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тивного правового регулирования:</w:t>
      </w:r>
    </w:p>
    <w:p w:rsidR="006165BB" w:rsidRPr="001A0820" w:rsidRDefault="001A0820" w:rsidP="001A082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>1) разработка</w:t>
      </w:r>
      <w:r w:rsidR="006165BB" w:rsidRPr="003B137E">
        <w:rPr>
          <w:rFonts w:ascii="Times New Roman" w:eastAsia="HiddenHorzOCR" w:hAnsi="Times New Roman" w:cs="Times New Roman"/>
          <w:sz w:val="24"/>
          <w:szCs w:val="24"/>
        </w:rPr>
        <w:t xml:space="preserve"> долгосрочной бюджетной стратегии </w:t>
      </w:r>
      <w:r w:rsidR="006165BB"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="006165BB"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 и ее применения в практике муниципального управления;</w:t>
      </w:r>
    </w:p>
    <w:p w:rsidR="006165BB" w:rsidRPr="003B137E" w:rsidRDefault="001A0820" w:rsidP="0061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HiddenHorzOCR" w:hAnsi="Times New Roman" w:cs="Times New Roman"/>
          <w:sz w:val="24"/>
          <w:szCs w:val="24"/>
        </w:rPr>
        <w:t xml:space="preserve">         2) создание</w:t>
      </w:r>
      <w:r w:rsidR="006165BB" w:rsidRPr="003B137E">
        <w:rPr>
          <w:rFonts w:ascii="Times New Roman" w:eastAsia="HiddenHorzOCR" w:hAnsi="Times New Roman" w:cs="Times New Roman"/>
          <w:sz w:val="24"/>
          <w:szCs w:val="24"/>
        </w:rPr>
        <w:t xml:space="preserve">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r w:rsidR="006165BB"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="006165BB"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района, а также прогноза социально-экономического развития на долгосрочную перспективу, применения результатов такой оценки в стратегическом бюджетном планировании;</w:t>
      </w:r>
    </w:p>
    <w:p w:rsidR="006165BB" w:rsidRPr="003B137E" w:rsidRDefault="006165BB" w:rsidP="0061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3) совершенствования и повышения эффективности финансового контроля;</w:t>
      </w:r>
    </w:p>
    <w:p w:rsidR="006165BB" w:rsidRPr="003B137E" w:rsidRDefault="006165BB" w:rsidP="0061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HiddenHorzOCR" w:hAnsi="Times New Roman" w:cs="Times New Roman"/>
          <w:sz w:val="24"/>
          <w:szCs w:val="24"/>
        </w:rPr>
        <w:t>4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) внедрения и совершенствования </w:t>
      </w:r>
      <w:proofErr w:type="gramStart"/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систем оплаты труда работников муниципальных учреждений </w:t>
      </w:r>
      <w:r>
        <w:rPr>
          <w:rFonts w:ascii="Times New Roman" w:eastAsia="HiddenHorzOCR" w:hAnsi="Times New Roman" w:cs="Times New Roman"/>
          <w:sz w:val="24"/>
          <w:szCs w:val="24"/>
        </w:rPr>
        <w:t>Юкаменского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района</w:t>
      </w:r>
      <w:proofErr w:type="gramEnd"/>
      <w:r w:rsidRPr="003B137E">
        <w:rPr>
          <w:rFonts w:ascii="Times New Roman" w:eastAsia="HiddenHorzOCR" w:hAnsi="Times New Roman" w:cs="Times New Roman"/>
          <w:sz w:val="24"/>
          <w:szCs w:val="24"/>
        </w:rPr>
        <w:t>;</w:t>
      </w:r>
    </w:p>
    <w:p w:rsidR="006165BB" w:rsidRPr="003B137E" w:rsidRDefault="006165BB" w:rsidP="0061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HiddenHorzOCR" w:hAnsi="Times New Roman" w:cs="Times New Roman"/>
          <w:sz w:val="24"/>
          <w:szCs w:val="24"/>
        </w:rPr>
        <w:t>5</w:t>
      </w:r>
      <w:r w:rsidRPr="003B137E">
        <w:rPr>
          <w:rFonts w:ascii="Times New Roman" w:eastAsia="HiddenHorzOCR" w:hAnsi="Times New Roman" w:cs="Times New Roman"/>
          <w:sz w:val="24"/>
          <w:szCs w:val="24"/>
        </w:rPr>
        <w:t>) организации системы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обсуждений.</w:t>
      </w:r>
    </w:p>
    <w:p w:rsidR="006165BB" w:rsidRPr="003B137E" w:rsidRDefault="006165BB" w:rsidP="006165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eastAsia="HiddenHorzOCR" w:hAnsi="Times New Roman" w:cs="Times New Roman"/>
          <w:sz w:val="24"/>
          <w:szCs w:val="24"/>
        </w:rPr>
        <w:t xml:space="preserve">        Ф</w:t>
      </w:r>
      <w:r w:rsidRPr="003B137E">
        <w:rPr>
          <w:rFonts w:ascii="Times New Roman" w:hAnsi="Times New Roman" w:cs="Times New Roman"/>
          <w:sz w:val="24"/>
          <w:szCs w:val="24"/>
        </w:rPr>
        <w:t>инансовая оценка применения мер муниципального регулирования в сфере реализа</w:t>
      </w:r>
      <w:r>
        <w:rPr>
          <w:rFonts w:ascii="Times New Roman" w:hAnsi="Times New Roman" w:cs="Times New Roman"/>
          <w:sz w:val="24"/>
          <w:szCs w:val="24"/>
        </w:rPr>
        <w:t xml:space="preserve">ции муниципальной подпрограммы </w:t>
      </w:r>
      <w:r w:rsidRPr="003B137E">
        <w:rPr>
          <w:rFonts w:ascii="Times New Roman" w:hAnsi="Times New Roman" w:cs="Times New Roman"/>
          <w:sz w:val="24"/>
          <w:szCs w:val="24"/>
        </w:rPr>
        <w:t xml:space="preserve"> отсутствует.</w:t>
      </w:r>
    </w:p>
    <w:p w:rsidR="006165BB" w:rsidRPr="003B137E" w:rsidRDefault="006165BB" w:rsidP="006165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Par655"/>
      <w:bookmarkEnd w:id="9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3.7. Прогноз сводных показателей муниципальных заданий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3.8.  Взаимодействие с органами государственной власти и местного самоуправления, организациями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3B137E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</w:rPr>
        <w:lastRenderedPageBreak/>
        <w:t>В ходе реализации подпрограммы  по вопросам п</w:t>
      </w:r>
      <w:r w:rsidRPr="003B137E">
        <w:rPr>
          <w:rFonts w:ascii="Times New Roman" w:eastAsia="Times New Roman" w:hAnsi="Times New Roman" w:cs="Times New Roman"/>
          <w:bCs/>
          <w:sz w:val="24"/>
          <w:szCs w:val="24"/>
        </w:rPr>
        <w:t xml:space="preserve">овышения эффективности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бюджетных </w:t>
      </w:r>
      <w:r w:rsidRPr="003B137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расходов </w:t>
      </w:r>
      <w:r w:rsidRPr="003B137E">
        <w:rPr>
          <w:rFonts w:ascii="Times New Roman" w:hAnsi="Times New Roman" w:cs="Times New Roman"/>
          <w:sz w:val="24"/>
          <w:szCs w:val="24"/>
        </w:rPr>
        <w:t>Управление финансов Администрации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137E">
        <w:rPr>
          <w:rFonts w:ascii="Times New Roman" w:hAnsi="Times New Roman" w:cs="Times New Roman"/>
          <w:sz w:val="24"/>
          <w:szCs w:val="24"/>
        </w:rPr>
        <w:t xml:space="preserve">» взаимодействует </w:t>
      </w:r>
      <w:proofErr w:type="gramStart"/>
      <w:r w:rsidRPr="003B137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B137E">
        <w:rPr>
          <w:rFonts w:ascii="Times New Roman" w:hAnsi="Times New Roman" w:cs="Times New Roman"/>
          <w:sz w:val="24"/>
          <w:szCs w:val="24"/>
        </w:rPr>
        <w:t>:</w:t>
      </w:r>
    </w:p>
    <w:p w:rsidR="006165BB" w:rsidRPr="003B137E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</w:rPr>
        <w:t>Министерством финансов Удмуртской Республики</w:t>
      </w:r>
    </w:p>
    <w:p w:rsidR="006165BB" w:rsidRPr="003B137E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3B137E">
        <w:rPr>
          <w:rFonts w:ascii="Times New Roman" w:hAnsi="Times New Roman" w:cs="Times New Roman"/>
          <w:sz w:val="24"/>
          <w:szCs w:val="24"/>
        </w:rPr>
        <w:t>тделами Администрации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137E">
        <w:rPr>
          <w:rFonts w:ascii="Times New Roman" w:hAnsi="Times New Roman" w:cs="Times New Roman"/>
          <w:sz w:val="24"/>
          <w:szCs w:val="24"/>
        </w:rPr>
        <w:t>»</w:t>
      </w:r>
    </w:p>
    <w:p w:rsidR="001A0820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</w:rPr>
        <w:t>Главными распорядителями средств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137E">
        <w:rPr>
          <w:rFonts w:ascii="Times New Roman" w:hAnsi="Times New Roman" w:cs="Times New Roman"/>
          <w:sz w:val="24"/>
          <w:szCs w:val="24"/>
        </w:rPr>
        <w:t>»,</w:t>
      </w:r>
    </w:p>
    <w:p w:rsidR="001A0820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</w:rPr>
        <w:t xml:space="preserve">  Главными администраторами (администраторами) доходов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1A0820">
        <w:rPr>
          <w:rFonts w:ascii="Times New Roman" w:hAnsi="Times New Roman" w:cs="Times New Roman"/>
          <w:sz w:val="24"/>
          <w:szCs w:val="24"/>
        </w:rPr>
        <w:t>»</w:t>
      </w:r>
    </w:p>
    <w:p w:rsidR="006165BB" w:rsidRPr="003B137E" w:rsidRDefault="006165BB" w:rsidP="00616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 w:cs="Times New Roman"/>
          <w:sz w:val="24"/>
          <w:szCs w:val="24"/>
        </w:rPr>
        <w:t>Главными администраторами источников финансирования дефицита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1A0820">
        <w:rPr>
          <w:rFonts w:ascii="Times New Roman" w:hAnsi="Times New Roman" w:cs="Times New Roman"/>
          <w:sz w:val="24"/>
          <w:szCs w:val="24"/>
        </w:rPr>
        <w:t>».</w:t>
      </w:r>
    </w:p>
    <w:p w:rsidR="006165BB" w:rsidRPr="003B137E" w:rsidRDefault="006165BB" w:rsidP="006165BB">
      <w:pPr>
        <w:keepNext/>
        <w:shd w:val="clear" w:color="auto" w:fill="FFFFFF"/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B137E">
        <w:rPr>
          <w:rFonts w:ascii="Times New Roman" w:hAnsi="Times New Roman"/>
          <w:bCs/>
          <w:sz w:val="24"/>
          <w:szCs w:val="24"/>
        </w:rPr>
        <w:t xml:space="preserve">            Для принятия обоснованных  и оперативных управленческих решений в сфере </w:t>
      </w:r>
      <w:proofErr w:type="gramStart"/>
      <w:r w:rsidRPr="003B137E">
        <w:rPr>
          <w:rFonts w:ascii="Times New Roman" w:hAnsi="Times New Roman"/>
          <w:bCs/>
          <w:sz w:val="24"/>
          <w:szCs w:val="24"/>
        </w:rPr>
        <w:t>повышения эффективности деятельности органов местного самоуправления</w:t>
      </w:r>
      <w:proofErr w:type="gramEnd"/>
      <w:r w:rsidRPr="003B137E">
        <w:rPr>
          <w:rFonts w:ascii="Times New Roman" w:hAnsi="Times New Roman"/>
          <w:bCs/>
          <w:sz w:val="24"/>
          <w:szCs w:val="24"/>
        </w:rPr>
        <w:t xml:space="preserve">  и муниципальных учреждений в рамках проведения независимой оценки  качества оказываемых муниципальных услуг (работ) будет осуществляться взаимодействие с организациями и гражданами  </w:t>
      </w:r>
      <w:r>
        <w:rPr>
          <w:rFonts w:ascii="Times New Roman" w:hAnsi="Times New Roman"/>
          <w:bCs/>
          <w:sz w:val="24"/>
          <w:szCs w:val="24"/>
        </w:rPr>
        <w:t>Юкаменского</w:t>
      </w:r>
      <w:r w:rsidRPr="003B137E">
        <w:rPr>
          <w:rFonts w:ascii="Times New Roman" w:hAnsi="Times New Roman"/>
          <w:bCs/>
          <w:sz w:val="24"/>
          <w:szCs w:val="24"/>
        </w:rPr>
        <w:t xml:space="preserve"> района.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0" w:name="Par662"/>
      <w:bookmarkStart w:id="11" w:name="Par672"/>
      <w:bookmarkStart w:id="12" w:name="Par681"/>
      <w:bookmarkEnd w:id="10"/>
      <w:bookmarkEnd w:id="11"/>
      <w:bookmarkEnd w:id="12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3.9. Ресурсное обеспечение подпрограммы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Сведения о ресурсном </w:t>
      </w:r>
      <w:hyperlink w:anchor="Par4639" w:history="1">
        <w:r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средств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представлены в </w:t>
      </w:r>
      <w:r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5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Сведения о ресурсном </w:t>
      </w:r>
      <w:hyperlink w:anchor="Par4639" w:history="1">
        <w:r w:rsidRPr="003B137E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всех источников финансирования представлены в </w:t>
      </w:r>
      <w:r w:rsidRPr="003B137E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6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Объемы финансирования подпрограммы  и направления их использования могут быть уточнены с учетом достигнутых результатов в сфере повышения эффективности расходов бюджета муниципального образования «</w:t>
      </w:r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1A08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а также в случае получения субсидии из республиканского бюджета на </w:t>
      </w:r>
      <w:proofErr w:type="spell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мероприятий подпрограммы  повышения эффективности бюджетных расходов по итогам конкурсного отбора.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3.10. Риски и меры по управлению рисками 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Внешними рисками для местного бюджета, которые оказывают влияние на сбалансированность и устойчивость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являются: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долгосрочного финансового плана.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налогового и бюджетного законодательства Российской Федерации, приводящее к централизации доходов на федеральном и региональном уровнях.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Система распределения межбюджетных трансфертов, предусмотренных в региональном бюджете, между муниципальными образованиями Удмуртской Республики. Для получения межбюджетных трансфертов осуществляется взаимодействие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с органами исполнительной власти Удмуртской Республики, являющимися главными распорядителями соответствующих средств регионального бюджета.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4. Корректировка объемов дотаций на выравнивание уровня бюджетной обеспеченности из регионального бюджета, а также неопределенность объемов привлечения сре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 являются: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необеспеченных доходами, увеличение объема дефицита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Риски принятия ошибочных управленческих решений.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4.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..</w:t>
      </w:r>
      <w:proofErr w:type="gramEnd"/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65BB" w:rsidRPr="003B137E" w:rsidRDefault="001A0820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6165BB"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3.11.  Конечные результаты и оценка эффективности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подпрограммы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подпрограммы  будет способствовать достижению целей и задач других муниципальных программ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социально-экономическому развитию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повышению эффективности муниципального управления.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реализации подпрограммы  планируется достигнуть следующих результатов: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обеспечение сбалансированности и устойчивости консолидированного бюджета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2) внедрение в практику долгосрочного финансового планирования;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оптимизация налоговых льгот по местным налогам муниципальных образований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обеспечение надлежащего качества управления муниципальными  финансами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Средний уровень </w:t>
      </w:r>
      <w:proofErr w:type="gramStart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       распорядителей средств бюджета муниципального</w:t>
      </w:r>
      <w:proofErr w:type="gramEnd"/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» не ниже 70 процентов;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5) повышение качества управления муниципальными финансами;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6) достижение социальной эффективности, выражающейся в повышении качества и доступности предоставляемых муниципальных услуг, за счет: изменения подходов к финансированию муниципальных учреждений, создания конкурентной среды в общественном секторе;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7) внедрение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заданиями, снижение издержек на их оказание;</w:t>
      </w:r>
    </w:p>
    <w:p w:rsidR="006165BB" w:rsidRPr="003B137E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137E">
        <w:rPr>
          <w:rFonts w:ascii="Times New Roman" w:hAnsi="Times New Roman" w:cs="Times New Roman"/>
          <w:color w:val="000000" w:themeColor="text1"/>
          <w:sz w:val="24"/>
          <w:szCs w:val="24"/>
        </w:rPr>
        <w:t>8) повышение открытости инфо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рмации о муниципальных финансах.</w:t>
      </w:r>
    </w:p>
    <w:p w:rsidR="006165BB" w:rsidRDefault="006165BB" w:rsidP="006165B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sz w:val="24"/>
          <w:szCs w:val="24"/>
        </w:rPr>
      </w:pPr>
    </w:p>
    <w:p w:rsidR="00367571" w:rsidRDefault="00367571"/>
    <w:sectPr w:rsidR="00367571" w:rsidSect="000D05F6">
      <w:footerReference w:type="default" r:id="rId7"/>
      <w:pgSz w:w="11906" w:h="16838" w:code="9"/>
      <w:pgMar w:top="737" w:right="1247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71" w:rsidRDefault="00367571" w:rsidP="00367571">
      <w:pPr>
        <w:spacing w:after="0" w:line="240" w:lineRule="auto"/>
      </w:pPr>
      <w:r>
        <w:separator/>
      </w:r>
    </w:p>
  </w:endnote>
  <w:endnote w:type="continuationSeparator" w:id="0">
    <w:p w:rsidR="00367571" w:rsidRDefault="00367571" w:rsidP="0036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88599"/>
    </w:sdtPr>
    <w:sdtEndPr/>
    <w:sdtContent>
      <w:p w:rsidR="00FD0581" w:rsidRDefault="00367571">
        <w:pPr>
          <w:pStyle w:val="a3"/>
          <w:jc w:val="right"/>
        </w:pPr>
        <w:r>
          <w:fldChar w:fldCharType="begin"/>
        </w:r>
        <w:r w:rsidR="006165BB">
          <w:instrText>PAGE   \* MERGEFORMAT</w:instrText>
        </w:r>
        <w:r>
          <w:fldChar w:fldCharType="separate"/>
        </w:r>
        <w:r w:rsidR="00897A4A">
          <w:rPr>
            <w:noProof/>
          </w:rPr>
          <w:t>6</w:t>
        </w:r>
        <w:r>
          <w:fldChar w:fldCharType="end"/>
        </w:r>
      </w:p>
    </w:sdtContent>
  </w:sdt>
  <w:p w:rsidR="00FD0581" w:rsidRDefault="00897A4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71" w:rsidRDefault="00367571" w:rsidP="00367571">
      <w:pPr>
        <w:spacing w:after="0" w:line="240" w:lineRule="auto"/>
      </w:pPr>
      <w:r>
        <w:separator/>
      </w:r>
    </w:p>
  </w:footnote>
  <w:footnote w:type="continuationSeparator" w:id="0">
    <w:p w:rsidR="00367571" w:rsidRDefault="00367571" w:rsidP="00367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65BB"/>
    <w:rsid w:val="0019384F"/>
    <w:rsid w:val="001A0820"/>
    <w:rsid w:val="00367571"/>
    <w:rsid w:val="006165BB"/>
    <w:rsid w:val="0089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165B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165BB"/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16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2621</Words>
  <Characters>14941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Человек</cp:lastModifiedBy>
  <cp:revision>5</cp:revision>
  <cp:lastPrinted>2022-12-15T07:38:00Z</cp:lastPrinted>
  <dcterms:created xsi:type="dcterms:W3CDTF">2019-08-22T10:33:00Z</dcterms:created>
  <dcterms:modified xsi:type="dcterms:W3CDTF">2022-12-15T07:38:00Z</dcterms:modified>
</cp:coreProperties>
</file>