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490" w:rsidRDefault="008E3490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8E3490" w:rsidRDefault="008E3490">
      <w:pPr>
        <w:pStyle w:val="ConsPlusNormal"/>
        <w:jc w:val="both"/>
        <w:outlineLvl w:val="0"/>
      </w:pPr>
    </w:p>
    <w:p w:rsidR="008E3490" w:rsidRDefault="008E3490">
      <w:pPr>
        <w:pStyle w:val="ConsPlusTitle"/>
        <w:jc w:val="center"/>
        <w:outlineLvl w:val="0"/>
      </w:pPr>
      <w:r>
        <w:t>МИНИСТЕРСТВО ПРОМЫШЛЕННОСТИ И ТОРГОВЛИ</w:t>
      </w:r>
    </w:p>
    <w:p w:rsidR="008E3490" w:rsidRDefault="008E3490">
      <w:pPr>
        <w:pStyle w:val="ConsPlusTitle"/>
        <w:jc w:val="center"/>
      </w:pPr>
      <w:r>
        <w:t>УДМУРТСКОЙ РЕСПУБЛИКИ</w:t>
      </w:r>
    </w:p>
    <w:p w:rsidR="008E3490" w:rsidRDefault="008E3490">
      <w:pPr>
        <w:pStyle w:val="ConsPlusTitle"/>
        <w:jc w:val="center"/>
      </w:pPr>
    </w:p>
    <w:p w:rsidR="008E3490" w:rsidRDefault="008E3490">
      <w:pPr>
        <w:pStyle w:val="ConsPlusTitle"/>
        <w:jc w:val="center"/>
      </w:pPr>
      <w:r>
        <w:t>ПРИКАЗ</w:t>
      </w:r>
    </w:p>
    <w:p w:rsidR="008E3490" w:rsidRDefault="008E3490">
      <w:pPr>
        <w:pStyle w:val="ConsPlusTitle"/>
        <w:jc w:val="center"/>
      </w:pPr>
      <w:r>
        <w:t>от 2 августа 2019 г. N 64</w:t>
      </w:r>
    </w:p>
    <w:p w:rsidR="008E3490" w:rsidRDefault="008E3490">
      <w:pPr>
        <w:pStyle w:val="ConsPlusTitle"/>
        <w:jc w:val="center"/>
      </w:pPr>
    </w:p>
    <w:p w:rsidR="008E3490" w:rsidRDefault="008E3490">
      <w:pPr>
        <w:pStyle w:val="ConsPlusTitle"/>
        <w:jc w:val="center"/>
      </w:pPr>
      <w:r>
        <w:t>ОБ УТВЕРЖДЕНИИ РЕКОМЕНДАЦИЙ К ВНЕШНЕМУ ВИДУ НЕСТАЦИОНАРНЫХ</w:t>
      </w:r>
    </w:p>
    <w:p w:rsidR="008E3490" w:rsidRDefault="008E3490">
      <w:pPr>
        <w:pStyle w:val="ConsPlusTitle"/>
        <w:jc w:val="center"/>
      </w:pPr>
      <w:r>
        <w:t>ТОРГОВЫХ ОБЪЕКТОВ НА ТЕРРИТОРИИ УДМУРТСКОЙ РЕСПУБЛИКИ</w:t>
      </w:r>
    </w:p>
    <w:p w:rsidR="008E3490" w:rsidRDefault="008E3490">
      <w:pPr>
        <w:pStyle w:val="ConsPlusNormal"/>
        <w:jc w:val="both"/>
      </w:pPr>
    </w:p>
    <w:p w:rsidR="008E3490" w:rsidRDefault="008E3490">
      <w:pPr>
        <w:pStyle w:val="ConsPlusNormal"/>
        <w:ind w:firstLine="540"/>
        <w:jc w:val="both"/>
      </w:pPr>
      <w:proofErr w:type="gramStart"/>
      <w:r>
        <w:t xml:space="preserve">В целях реализации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28 декабря 2009 года N 381-ФЗ "Об основах государственного регулирования торговой деятельности в Российской Федерации", </w:t>
      </w:r>
      <w:hyperlink r:id="rId7">
        <w:r>
          <w:rPr>
            <w:color w:val="0000FF"/>
          </w:rPr>
          <w:t>постановления</w:t>
        </w:r>
      </w:hyperlink>
      <w:r>
        <w:t xml:space="preserve"> Правительства Удмуртской Республики от 22 декабря 2014 года N 550 "О Министерстве промышленности и торговли Удмуртской Республики", </w:t>
      </w:r>
      <w:hyperlink r:id="rId8">
        <w:r>
          <w:rPr>
            <w:color w:val="0000FF"/>
          </w:rPr>
          <w:t>приказа</w:t>
        </w:r>
      </w:hyperlink>
      <w:r>
        <w:t xml:space="preserve"> Министерства промышленности и торговли Удмуртской Республики от 21 августа 2015 года N 65 "Об утверждении Порядка разработки и утверждения схемы</w:t>
      </w:r>
      <w:proofErr w:type="gramEnd"/>
      <w:r>
        <w:t xml:space="preserve"> размещения нестационарных торговых объектов на территории Удмуртской Республики" приказываю: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>
        <w:r>
          <w:rPr>
            <w:color w:val="0000FF"/>
          </w:rPr>
          <w:t>Рекомендации</w:t>
        </w:r>
      </w:hyperlink>
      <w:r>
        <w:t xml:space="preserve"> к внешнему виду нестационарных торговых объектов на территории Удмуртской Республики.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2. Рекомендовать органам местного самоуправления муниципальных образований в Удмуртской Республике: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1) урегулировать в правилах благоустройства вопросы внешнего вида нестационарных торговых объектов на территории соответствующих муниципальных образований;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 xml:space="preserve">2) при урегулировании вопросов внешнего вида нестационарных торговых объектов на территории соответствующих муниципальных образований руководствоваться </w:t>
      </w:r>
      <w:hyperlink w:anchor="P31">
        <w:r>
          <w:rPr>
            <w:color w:val="0000FF"/>
          </w:rPr>
          <w:t>Рекомендациями</w:t>
        </w:r>
      </w:hyperlink>
      <w:r>
        <w:t>, утвержденными настоящим приказом.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промышленности и торговли Удмуртской Республики, курирующего сферу потребительского рынка.</w:t>
      </w:r>
    </w:p>
    <w:p w:rsidR="008E3490" w:rsidRDefault="008E3490">
      <w:pPr>
        <w:pStyle w:val="ConsPlusNormal"/>
        <w:jc w:val="both"/>
      </w:pPr>
    </w:p>
    <w:p w:rsidR="008E3490" w:rsidRDefault="008E3490">
      <w:pPr>
        <w:pStyle w:val="ConsPlusNormal"/>
        <w:jc w:val="right"/>
      </w:pPr>
      <w:r>
        <w:t>Министр</w:t>
      </w:r>
    </w:p>
    <w:p w:rsidR="008E3490" w:rsidRDefault="008E3490">
      <w:pPr>
        <w:pStyle w:val="ConsPlusNormal"/>
        <w:jc w:val="right"/>
      </w:pPr>
      <w:r>
        <w:t>В.А.ЛАШКАРЕВ</w:t>
      </w:r>
    </w:p>
    <w:p w:rsidR="008E3490" w:rsidRDefault="008E3490">
      <w:pPr>
        <w:pStyle w:val="ConsPlusNormal"/>
        <w:jc w:val="both"/>
      </w:pPr>
    </w:p>
    <w:p w:rsidR="008E3490" w:rsidRDefault="008E3490">
      <w:pPr>
        <w:pStyle w:val="ConsPlusNormal"/>
        <w:jc w:val="both"/>
      </w:pPr>
    </w:p>
    <w:p w:rsidR="008E3490" w:rsidRDefault="008E3490">
      <w:pPr>
        <w:pStyle w:val="ConsPlusNormal"/>
        <w:jc w:val="both"/>
      </w:pPr>
    </w:p>
    <w:p w:rsidR="008E3490" w:rsidRDefault="008E3490">
      <w:pPr>
        <w:pStyle w:val="ConsPlusNormal"/>
        <w:jc w:val="both"/>
      </w:pPr>
    </w:p>
    <w:p w:rsidR="008E3490" w:rsidRDefault="008E3490">
      <w:pPr>
        <w:pStyle w:val="ConsPlusNormal"/>
        <w:jc w:val="both"/>
      </w:pPr>
    </w:p>
    <w:p w:rsidR="008E3490" w:rsidRDefault="008E3490">
      <w:pPr>
        <w:pStyle w:val="ConsPlusNormal"/>
        <w:jc w:val="right"/>
        <w:outlineLvl w:val="0"/>
      </w:pPr>
      <w:r>
        <w:t>Утверждены</w:t>
      </w:r>
    </w:p>
    <w:p w:rsidR="008E3490" w:rsidRDefault="008E3490">
      <w:pPr>
        <w:pStyle w:val="ConsPlusNormal"/>
        <w:jc w:val="right"/>
      </w:pPr>
      <w:r>
        <w:t>приказом</w:t>
      </w:r>
    </w:p>
    <w:p w:rsidR="008E3490" w:rsidRDefault="008E3490">
      <w:pPr>
        <w:pStyle w:val="ConsPlusNormal"/>
        <w:jc w:val="right"/>
      </w:pPr>
      <w:r>
        <w:t>Министерства</w:t>
      </w:r>
    </w:p>
    <w:p w:rsidR="008E3490" w:rsidRDefault="008E3490">
      <w:pPr>
        <w:pStyle w:val="ConsPlusNormal"/>
        <w:jc w:val="right"/>
      </w:pPr>
      <w:r>
        <w:t>промышленности и торговли</w:t>
      </w:r>
    </w:p>
    <w:p w:rsidR="008E3490" w:rsidRDefault="008E3490">
      <w:pPr>
        <w:pStyle w:val="ConsPlusNormal"/>
        <w:jc w:val="right"/>
      </w:pPr>
      <w:r>
        <w:t>Удмуртской Республики</w:t>
      </w:r>
    </w:p>
    <w:p w:rsidR="008E3490" w:rsidRDefault="008E3490">
      <w:pPr>
        <w:pStyle w:val="ConsPlusNormal"/>
        <w:jc w:val="right"/>
      </w:pPr>
      <w:r>
        <w:t>от 2 августа 2019 г. N 64</w:t>
      </w:r>
    </w:p>
    <w:p w:rsidR="008E3490" w:rsidRDefault="008E3490">
      <w:pPr>
        <w:pStyle w:val="ConsPlusNormal"/>
        <w:jc w:val="both"/>
      </w:pPr>
    </w:p>
    <w:p w:rsidR="008E3490" w:rsidRDefault="008E3490">
      <w:pPr>
        <w:pStyle w:val="ConsPlusTitle"/>
        <w:jc w:val="center"/>
      </w:pPr>
      <w:bookmarkStart w:id="0" w:name="P31"/>
      <w:bookmarkEnd w:id="0"/>
      <w:r>
        <w:t>РЕКОМЕНДАЦИИ</w:t>
      </w:r>
    </w:p>
    <w:p w:rsidR="008E3490" w:rsidRDefault="008E3490">
      <w:pPr>
        <w:pStyle w:val="ConsPlusTitle"/>
        <w:jc w:val="center"/>
      </w:pPr>
      <w:r>
        <w:t>К ВНЕШНЕМУ ВИДУ НЕСТАЦИОНАРНЫХ ТОРГОВЫХ ОБЪЕКТОВ</w:t>
      </w:r>
    </w:p>
    <w:p w:rsidR="008E3490" w:rsidRDefault="008E3490">
      <w:pPr>
        <w:pStyle w:val="ConsPlusTitle"/>
        <w:jc w:val="center"/>
      </w:pPr>
      <w:r>
        <w:t>НА ТЕРРИТОРИИ УДМУРТСКОЙ РЕСПУБЛИКИ</w:t>
      </w:r>
    </w:p>
    <w:p w:rsidR="008E3490" w:rsidRDefault="008E3490">
      <w:pPr>
        <w:pStyle w:val="ConsPlusNormal"/>
        <w:jc w:val="both"/>
      </w:pPr>
    </w:p>
    <w:p w:rsidR="008E3490" w:rsidRDefault="008E3490">
      <w:pPr>
        <w:pStyle w:val="ConsPlusTitle"/>
        <w:jc w:val="center"/>
        <w:outlineLvl w:val="1"/>
      </w:pPr>
      <w:r>
        <w:lastRenderedPageBreak/>
        <w:t>1. Общие положения</w:t>
      </w:r>
    </w:p>
    <w:p w:rsidR="008E3490" w:rsidRDefault="008E3490">
      <w:pPr>
        <w:pStyle w:val="ConsPlusNormal"/>
        <w:jc w:val="both"/>
      </w:pPr>
    </w:p>
    <w:p w:rsidR="008E3490" w:rsidRDefault="008E3490">
      <w:pPr>
        <w:pStyle w:val="ConsPlusNormal"/>
        <w:ind w:firstLine="540"/>
        <w:jc w:val="both"/>
      </w:pPr>
      <w:r>
        <w:t>1.1. Рекомендации к внешнему виду нестационарных торговых объектов (далее - НТО) на территории Удмуртской Республики (далее - Рекомендации) разработаны исходя из удобства и функциональности осуществления торговой деятельности, формирования целостного архитектурного облика населенных пунктов, повышения комфортности, минимизации расходов хозяйствующего субъекта и простоты оформления.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1.2. Рекомендации определяют общие принципы разработки органами местного самоуправления положений, регулирующих вопросы внешнего вида НТО (далее - Положения).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Органы местного самоуправления Удмуртской Республики вправе самостоятельно определить внешний вид НТО с учетом исторически сложившейся застройки и соблюдения единообразия для локальных общественных и общественно-деловых зон, мест массового скопления людей, мест проведения массовых мероприятий, площадей, скверов и парков, а также главных и второстепенных улиц.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1.3. В Положениях целесообразно предусмотреть сроки приведения внешнего вида НТО в соответствие с новым порядком, исходя из следующих рекомендуемых сроков: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а) для НТО, размещенных на момент утверждения Положений, - в течение одного года с момента вступления Положений в силу;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б) для НТО, модернизированных (реконструированных) по согласованию с органами местного самоуправления в 2018 - 2019 годах, - не более трех лет с момента вступления в силу Положений.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 xml:space="preserve">1.4. Положения настоящих Рекомендаций не распространяются на НТО, оформленные в соответствии с условиями франшизы, на торговые предприятия со специализированным ассортиментом, составляющие нестационарную торговую сеть (согласно </w:t>
      </w:r>
      <w:hyperlink r:id="rId9">
        <w:r>
          <w:rPr>
            <w:color w:val="0000FF"/>
          </w:rPr>
          <w:t xml:space="preserve">ГОСТ </w:t>
        </w:r>
        <w:proofErr w:type="gramStart"/>
        <w:r>
          <w:rPr>
            <w:color w:val="0000FF"/>
          </w:rPr>
          <w:t>Р</w:t>
        </w:r>
        <w:proofErr w:type="gramEnd"/>
        <w:r>
          <w:rPr>
            <w:color w:val="0000FF"/>
          </w:rPr>
          <w:t xml:space="preserve"> 51303-2013</w:t>
        </w:r>
      </w:hyperlink>
      <w:r>
        <w:t xml:space="preserve">. Национальный стандарт Российской Федерации. Торговля. Термины и определения), и внешний </w:t>
      </w:r>
      <w:proofErr w:type="gramStart"/>
      <w:r>
        <w:t>вид</w:t>
      </w:r>
      <w:proofErr w:type="gramEnd"/>
      <w:r>
        <w:t xml:space="preserve"> которых согласован с органами местного самоуправления.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1.5. Внешний вид вновь размещаемого на территории муниципального образования конкретного НТО подлежит согласованию с соответствующими органами местного самоуправления.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1.6. Для согласования внешнего вида НТО с органами местного самоуправления предоставляется эскизный проект НТО, в состав которого входят: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1) титульный лист;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2) текстовая часть - пояснительная записка, содержащая сведения об объекте: местоположение, габаритные размеры, функциональное назначение, описание фасадов и архитектуры НТО, варианты освещения, размещение холодильного и иного оборудования снаружи;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3) графическая часть, включающая: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схему генерального плана, выполненную на топографической основе в масштабе 1:500, с указанием линейных привязок к основным элементам территории участка (тротуары, проезжая часть, стены домов, инженерные коммуникации и т.д.), согласованную с владельцами инженерных коммуникаций;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ситуационный план-схему размещения НТО на карте населенного пункта;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lastRenderedPageBreak/>
        <w:t>план НТО, выполненный в масштабе 1:50, с указанием основных габаритных размеров, мест размещения оборудования снаружи НТО;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развертки фасадов с цветовым решением, с указанием высотных отметок основных элементов фасадов, местом размещения вывески, а также ведомостью отделочных материалов;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цветное трехмерное изображение НТО, вписанное в окружающую среду;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материалы фотофиксации территории участка до начала работ по установке нового НТО.</w:t>
      </w:r>
    </w:p>
    <w:p w:rsidR="008E3490" w:rsidRDefault="008E3490">
      <w:pPr>
        <w:pStyle w:val="ConsPlusNormal"/>
        <w:jc w:val="both"/>
      </w:pPr>
    </w:p>
    <w:p w:rsidR="008E3490" w:rsidRDefault="008E3490">
      <w:pPr>
        <w:pStyle w:val="ConsPlusTitle"/>
        <w:jc w:val="center"/>
        <w:outlineLvl w:val="1"/>
      </w:pPr>
      <w:r>
        <w:t xml:space="preserve">2. Основные рекомендации к внешнему виду </w:t>
      </w:r>
      <w:proofErr w:type="gramStart"/>
      <w:r>
        <w:t>нестационарных</w:t>
      </w:r>
      <w:proofErr w:type="gramEnd"/>
    </w:p>
    <w:p w:rsidR="008E3490" w:rsidRDefault="008E3490">
      <w:pPr>
        <w:pStyle w:val="ConsPlusTitle"/>
        <w:jc w:val="center"/>
      </w:pPr>
      <w:r>
        <w:t>торговых объектов</w:t>
      </w:r>
    </w:p>
    <w:p w:rsidR="008E3490" w:rsidRDefault="008E3490">
      <w:pPr>
        <w:pStyle w:val="ConsPlusNormal"/>
        <w:jc w:val="both"/>
      </w:pPr>
    </w:p>
    <w:p w:rsidR="008E3490" w:rsidRDefault="008E3490">
      <w:pPr>
        <w:pStyle w:val="ConsPlusNormal"/>
        <w:ind w:firstLine="540"/>
        <w:jc w:val="both"/>
      </w:pPr>
      <w:r>
        <w:t>2.1. Конструкция НТО должна обеспечивать возможность его оперативного перемещения и транспортировки.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2.2. Передний фасад павильонов должен быть полностью остеклен, боковой - частично.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Все остекленные поверхности корпуса могут предусматривать установку защитных систем (рольставней или ставней в виде сдвижных панелей).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2.3. Для изготовления НТО и его отделки должны применяться современные сертифицированные материалы с соблюдением правил пожарной безопасности, имеющие качественную и прочную окраску, отделку и не изменяющие своих эстетических и эксплуатационных качеств в течение всего срока эксплуатации НТО (не менее 7 лет).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 xml:space="preserve">2.4. Архитектурное и конструктивное решение входной группы (групп) НТО, имеющего торговый зал, должно соответствовать положениям </w:t>
      </w:r>
      <w:hyperlink r:id="rId10">
        <w:r>
          <w:rPr>
            <w:color w:val="0000FF"/>
          </w:rPr>
          <w:t>СНиП 35-01-2001</w:t>
        </w:r>
      </w:hyperlink>
      <w:r>
        <w:t xml:space="preserve"> "Доступность зданий и сооружений для маломобильных групп населения".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2.5. В случае объединения нескольких НТО в единый модуль (блокировка НТО), а также для объектов, находящихся в одной торговой зоне, материалы наружной отделки, соединительные декоративные элементы, общий козырек, рама остекления, дверные блоки и другие видимые элементы должны быть изготовлены из идентичных конструктивных материалов. Цветовая гамма наружной отделки всех НТО торговой зоны и сблокированных НТО должна соответствовать установленной для данной торговой площадки.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2.6. Внешняя облицовка НТО.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Колористическое решение НТО необходимо применять с учетом концепции общего цветового решения застройки улицы.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Основной колер цветового решения согласовывается с соответствующими органами местного самоуправления.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2.7. В конструкциях НТО на переднем фасаде допускается устройство фриза.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Нижняя граница фриза должна располагаться на высоте 2,1 метра от пола.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Высота фриза должна составлять: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для киосков шириной до 3 м (включительно) - 300 мм;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для киосков шириной от 3 м и для павильонов - 500 мм.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Для защиты от атмосферных осадков конструкция НТО должна предусматривать козырек.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lastRenderedPageBreak/>
        <w:t>2.8. Рекомендации к киоску: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- корпус: композитные материалы с утеплителем;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- остекление: стеклопакет, профиль металлический или ПВХ;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- дверь: с остеклением или без остекления в цветовой гамме НТО;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- фризы, пилоны, цоколь, парапет из композитных алюминиевых панелей в цветовой гамме НТО.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2.9. Рекомендации к торговому павильону: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- корпус: композитные материалы с утеплителем;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- остекление: стеклопакет, профиль металлический или ПВХ;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- дверь для служебного входа: без остекления в цветовой гамме НТО;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- дверь входная для покупателей: с остеклением;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- фризы, пилоны, цоколь, парапет из композитных алюминиевых панелей в цветовой гамме НТО.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2.10. Рекомендации к НТО, совмещаемому с остановочным пунктом типа "торгово-остановочный комплекс" (ТОК).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ТОК включает в себя зону ожидания для пассажиров и торговую зону.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Площадь зоны ожидания для пассажиров должна составлять не менее 8 кв. метров. Торговая зона должна размещаться за зоной ожидания для пассажиров по ходу движения транспорта.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ТОК должны быть оборудованы дорожными информационно-указательными знаками, обозначающими место остановки транспортных средств (в соответствии с действующими Правилами дорожного движения Российской Федерации), местами для сидения пассажиров.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Запрещается размещать ТОК в пределах треугольников видимости.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ТОК должны быть расположены лицевым фасадом к прилегающему тротуару. Не допускается отсутствие площадки без твердого покрытия между лицевым фасадом ТОК и тротуаром.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Технические характеристики: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- корпус: композитные материалы с утеплителем;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- остекление: стеклопакет, профиль металлический или ПВХ;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- дверь для служебного входа: без остекления в цвет основного цвета НТО;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- дверь входная для покупателей: с остеклением;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- зона ожидания для пассажиров должна быть оборудована навесами, освещена в темное время суток. Навес выполняется в стиле, соответствующем стилю основного НТО, и должен выполнять функцию защиты пассажиров от осадков;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- обязательная установка скамьи и урны для мусора;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lastRenderedPageBreak/>
        <w:t>- фризы, пилоны, цоколь, парапет из композитных алюминиевых панелей в цветовой гамме НТО.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2.11. Рекомендации к торговому автомату (вендинговому автомату):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- корпус: композитные материалы;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- фризы, пилоны, цоколь, парапет из композитных алюминиевых панелей в цветовой гамме НТО.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2.12. Блокировка НТО.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Допускается размещение киосков и торговых павильонов вплотную друг к другу - блокировка НТО.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Блокировка НТО должна осуществляться со стороны боковых фасадов.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При блокировке киосков и (или) торговых павильонов допускается сдвиг НТО вдоль боковых фасадов, но не более чем на половину длины наиболее короткого из блокируемых НТО.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2.13. Информационные конструкции.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В оформлении НТО допускается использование следующих информационных конструкций: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- кронштейн - информационная конструкция, располагающаяся перпендикулярно к фасаду здания, строения, сооружения и содержащая наименование организации, дескриптор, логотип. Разрешается размещение краткого сообщения об основной характеристике товара, работ или услуг, не являющейся рекламой;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- вывеска из отдельных букв и знаков - вывеска, в которой отдельные буквы и знаки крепятся непосредственно на элемент фасада, без дополнительных коробов и подложек;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- вывеска из отдельных букв и знаков на подложке - вывеска, в которой буквы и знаки располагаются на жестком основании;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- плоская вывеска - вывеска, состоящая из жесткой основы, на которой буквы и знаки нанесены с помощью печати или оклейки;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- лайтбокс - вывеска, подложка которой имеет внутреннюю подсветку;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 xml:space="preserve">- информационная табличка - вывеска, располагающаяся рядом с входом в организацию на фасаде здания, строения, сооружения, </w:t>
      </w:r>
      <w:proofErr w:type="gramStart"/>
      <w:r>
        <w:t>на</w:t>
      </w:r>
      <w:proofErr w:type="gramEnd"/>
      <w:r>
        <w:t xml:space="preserve"> которой размещается информация об организации.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По горизонтали вывеска должна располагаться по центру зоны допустимого размещения.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Запрещается установка (размещение) на НТО информационных конструкций с использованием картона и баннерной ткани.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Не допускается размещение рекламы на внешних поверхностях нестационарных торговых объектов.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 xml:space="preserve">2.14. Рекомендуемые варианты архитектурных и колористических решений НТО приведены в </w:t>
      </w:r>
      <w:hyperlink w:anchor="P135">
        <w:r>
          <w:rPr>
            <w:color w:val="0000FF"/>
          </w:rPr>
          <w:t>приложении</w:t>
        </w:r>
      </w:hyperlink>
      <w:r>
        <w:t xml:space="preserve"> к настоящим Рекомендациям.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2.15. Благоустройство прилегающей территории.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 xml:space="preserve">В целях благоустройства, обеспечения чистоты и порядка хозяйствующими субъектами, осуществляющими предпринимательскую деятельность посредством НТО, рекомендуется в </w:t>
      </w:r>
      <w:r>
        <w:lastRenderedPageBreak/>
        <w:t>договорах на размещение НТО урегулировать вопросы: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- обеспечения содержания территорий, уборки мест общего пользования, прилегающих к НТО, очистки территорий от мусора, снега, скоплений дождевых и талых вод, технических и технологических загрязнений, ликвидации гололеда, удаления обледенений с крыш, навесов, кошения травы;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- обеспечения озеленения территории, не имеющей твердого покрытия;</w:t>
      </w:r>
    </w:p>
    <w:p w:rsidR="008E3490" w:rsidRDefault="008E3490">
      <w:pPr>
        <w:pStyle w:val="ConsPlusNormal"/>
        <w:spacing w:before="220"/>
        <w:ind w:firstLine="540"/>
        <w:jc w:val="both"/>
      </w:pPr>
      <w:r>
        <w:t>- очищения эксплуатируемых объектов от самовольно размещенных афиш, объявлений, вывесок, указателей, агитационных материалов, надписей.</w:t>
      </w:r>
    </w:p>
    <w:p w:rsidR="008E3490" w:rsidRDefault="008E3490">
      <w:pPr>
        <w:pStyle w:val="ConsPlusNormal"/>
        <w:jc w:val="both"/>
      </w:pPr>
    </w:p>
    <w:p w:rsidR="008E3490" w:rsidRDefault="008E3490">
      <w:pPr>
        <w:pStyle w:val="ConsPlusNormal"/>
        <w:jc w:val="both"/>
      </w:pPr>
    </w:p>
    <w:p w:rsidR="008E3490" w:rsidRDefault="008E3490">
      <w:pPr>
        <w:pStyle w:val="ConsPlusNormal"/>
        <w:jc w:val="both"/>
      </w:pPr>
    </w:p>
    <w:p w:rsidR="008E3490" w:rsidRDefault="008E3490">
      <w:pPr>
        <w:pStyle w:val="ConsPlusNormal"/>
        <w:jc w:val="both"/>
      </w:pPr>
    </w:p>
    <w:p w:rsidR="008E3490" w:rsidRDefault="008E3490">
      <w:pPr>
        <w:pStyle w:val="ConsPlusNormal"/>
        <w:jc w:val="both"/>
      </w:pPr>
    </w:p>
    <w:p w:rsidR="008E3490" w:rsidRDefault="008E3490">
      <w:pPr>
        <w:pStyle w:val="ConsPlusNormal"/>
        <w:jc w:val="right"/>
        <w:outlineLvl w:val="1"/>
      </w:pPr>
      <w:r>
        <w:t>Приложение</w:t>
      </w:r>
    </w:p>
    <w:p w:rsidR="008E3490" w:rsidRDefault="008E3490">
      <w:pPr>
        <w:pStyle w:val="ConsPlusNormal"/>
        <w:jc w:val="right"/>
      </w:pPr>
      <w:r>
        <w:t>к Рекомендациям</w:t>
      </w:r>
    </w:p>
    <w:p w:rsidR="008E3490" w:rsidRDefault="008E3490">
      <w:pPr>
        <w:pStyle w:val="ConsPlusNormal"/>
        <w:jc w:val="right"/>
      </w:pPr>
      <w:r>
        <w:t>к внешнему виду</w:t>
      </w:r>
    </w:p>
    <w:p w:rsidR="008E3490" w:rsidRDefault="008E3490">
      <w:pPr>
        <w:pStyle w:val="ConsPlusNormal"/>
        <w:jc w:val="right"/>
      </w:pPr>
      <w:r>
        <w:t>нестационарных торговых</w:t>
      </w:r>
    </w:p>
    <w:p w:rsidR="008E3490" w:rsidRDefault="008E3490">
      <w:pPr>
        <w:pStyle w:val="ConsPlusNormal"/>
        <w:jc w:val="right"/>
      </w:pPr>
      <w:r>
        <w:t>объектов на территории</w:t>
      </w:r>
    </w:p>
    <w:p w:rsidR="008E3490" w:rsidRDefault="008E3490">
      <w:pPr>
        <w:pStyle w:val="ConsPlusNormal"/>
        <w:jc w:val="right"/>
      </w:pPr>
      <w:r>
        <w:t>Удмуртской Республики</w:t>
      </w:r>
    </w:p>
    <w:p w:rsidR="008E3490" w:rsidRDefault="008E3490">
      <w:pPr>
        <w:pStyle w:val="ConsPlusNormal"/>
        <w:jc w:val="both"/>
      </w:pPr>
    </w:p>
    <w:p w:rsidR="008E3490" w:rsidRDefault="008E3490">
      <w:pPr>
        <w:pStyle w:val="ConsPlusTitle"/>
        <w:jc w:val="center"/>
      </w:pPr>
      <w:bookmarkStart w:id="1" w:name="P135"/>
      <w:bookmarkEnd w:id="1"/>
      <w:r>
        <w:t>АРХИТЕКТУРНЫЕ И КОЛОРИСТИЧЕСКИЕ РЕШЕНИЯ</w:t>
      </w:r>
    </w:p>
    <w:p w:rsidR="008E3490" w:rsidRDefault="008E3490">
      <w:pPr>
        <w:pStyle w:val="ConsPlusTitle"/>
        <w:jc w:val="center"/>
      </w:pPr>
      <w:r>
        <w:t>ВНЕШНЕГО ВИДА НТО</w:t>
      </w:r>
    </w:p>
    <w:p w:rsidR="008E3490" w:rsidRDefault="008E3490">
      <w:pPr>
        <w:pStyle w:val="ConsPlusTitle"/>
        <w:jc w:val="center"/>
      </w:pPr>
      <w:r>
        <w:t>НА ТЕРРИТОРИИ УДМУРТСКОЙ РЕСПУБЛИКИ</w:t>
      </w:r>
    </w:p>
    <w:p w:rsidR="008E3490" w:rsidRDefault="008E3490">
      <w:pPr>
        <w:pStyle w:val="ConsPlusNormal"/>
        <w:jc w:val="both"/>
      </w:pPr>
    </w:p>
    <w:p w:rsidR="008E3490" w:rsidRDefault="008E3490">
      <w:pPr>
        <w:pStyle w:val="ConsPlusNormal"/>
        <w:jc w:val="both"/>
      </w:pPr>
    </w:p>
    <w:p w:rsidR="008E3490" w:rsidRDefault="008E3490">
      <w:pPr>
        <w:pStyle w:val="ConsPlusNormal"/>
        <w:jc w:val="both"/>
      </w:pPr>
    </w:p>
    <w:p w:rsidR="008E3490" w:rsidRDefault="008E349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0B1F" w:rsidRDefault="00D40B1F">
      <w:bookmarkStart w:id="2" w:name="_GoBack"/>
      <w:bookmarkEnd w:id="2"/>
    </w:p>
    <w:sectPr w:rsidR="00D40B1F" w:rsidSect="00FC6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490"/>
    <w:rsid w:val="008E3490"/>
    <w:rsid w:val="00D4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4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34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34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34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349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349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53&amp;n=1387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53&amp;n=165775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73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https://login.consultant.ru/link/?req=doc&amp;base=STR&amp;n=2073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384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1866</Words>
  <Characters>10638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2025-03-24T10:09:00Z</dcterms:created>
  <dcterms:modified xsi:type="dcterms:W3CDTF">2025-03-24T10:09:00Z</dcterms:modified>
</cp:coreProperties>
</file>